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Pr>
        <w:drawing>
          <wp:inline distB="114300" distT="114300" distL="114300" distR="114300">
            <wp:extent cx="5943600" cy="1244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rFonts w:ascii="BRAZIL" w:cs="BRAZIL" w:eastAsia="BRAZIL" w:hAnsi="BRAZIL"/>
          <w:color w:val="403152"/>
        </w:rPr>
      </w:pPr>
      <w:r w:rsidDel="00000000" w:rsidR="00000000" w:rsidRPr="00000000">
        <w:rPr>
          <w:i w:val="1"/>
          <w:color w:val="403152"/>
          <w:rtl w:val="0"/>
        </w:rPr>
        <w:t xml:space="preserve">519-938-9355 </w:t>
        <w:tab/>
        <w:tab/>
        <w:tab/>
        <w:t xml:space="preserve">     </w:t>
      </w:r>
      <w:r w:rsidDel="00000000" w:rsidR="00000000" w:rsidRPr="00000000">
        <w:rPr>
          <w:b w:val="1"/>
          <w:color w:val="403152"/>
          <w:sz w:val="28"/>
          <w:szCs w:val="28"/>
          <w:u w:val="single"/>
          <w:rtl w:val="0"/>
        </w:rPr>
        <w:t xml:space="preserve">Grade 12 Cosmetology</w:t>
      </w:r>
      <w:r w:rsidDel="00000000" w:rsidR="00000000" w:rsidRPr="00000000">
        <w:rPr>
          <w:i w:val="1"/>
          <w:color w:val="403152"/>
          <w:rtl w:val="0"/>
        </w:rPr>
        <w:tab/>
        <w:tab/>
        <w:t xml:space="preserve">www.ugdsb.on.ca/westside</w:t>
      </w:r>
      <w:r w:rsidDel="00000000" w:rsidR="00000000" w:rsidRPr="00000000">
        <w:rPr>
          <w:rFonts w:ascii="BRAZIL" w:cs="BRAZIL" w:eastAsia="BRAZIL" w:hAnsi="BRAZIL"/>
          <w:color w:val="403152"/>
          <w:rtl w:val="0"/>
        </w:rPr>
        <w:tab/>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1"/>
              <w:spacing w:after="0" w:line="360" w:lineRule="auto"/>
              <w:rPr>
                <w:rFonts w:ascii="Times New Roman" w:cs="Times New Roman" w:eastAsia="Times New Roman" w:hAnsi="Times New Roman"/>
                <w:sz w:val="24"/>
                <w:szCs w:val="24"/>
              </w:rPr>
            </w:pPr>
            <w:r w:rsidDel="00000000" w:rsidR="00000000" w:rsidRPr="00000000">
              <w:rPr>
                <w:b w:val="1"/>
                <w:color w:val="403152"/>
                <w:sz w:val="24"/>
                <w:szCs w:val="24"/>
                <w:rtl w:val="0"/>
              </w:rPr>
              <w:t xml:space="preserve">Course: TXJ 4E1                               Teacher: Stephanie McKay    Program Leader: James Wardle</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firstLine="0"/>
              <w:rPr>
                <w:b w:val="1"/>
                <w:color w:val="403152"/>
                <w:sz w:val="24"/>
                <w:szCs w:val="24"/>
              </w:rPr>
            </w:pPr>
            <w:r w:rsidDel="00000000" w:rsidR="00000000" w:rsidRPr="00000000">
              <w:rPr>
                <w:b w:val="1"/>
                <w:color w:val="403152"/>
                <w:sz w:val="24"/>
                <w:szCs w:val="24"/>
                <w:rtl w:val="0"/>
              </w:rPr>
              <w:t xml:space="preserve">Phone Extension: 556                    Email: stephanie.mckay</w:t>
            </w:r>
            <w:r w:rsidDel="00000000" w:rsidR="00000000" w:rsidRPr="00000000">
              <w:rPr>
                <w:color w:val="403152"/>
                <w:sz w:val="24"/>
                <w:szCs w:val="24"/>
                <w:rtl w:val="0"/>
              </w:rPr>
              <w:t xml:space="preserve">@ugdsb.on.ca            </w:t>
            </w:r>
            <w:r w:rsidDel="00000000" w:rsidR="00000000" w:rsidRPr="00000000">
              <w:rPr>
                <w:rtl w:val="0"/>
              </w:rPr>
            </w:r>
          </w:p>
        </w:tc>
      </w:tr>
    </w:tbl>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4"/>
                <w:szCs w:val="24"/>
              </w:rPr>
            </w:pPr>
            <w:r w:rsidDel="00000000" w:rsidR="00000000" w:rsidRPr="00000000">
              <w:rPr>
                <w:b w:val="1"/>
                <w:sz w:val="24"/>
                <w:szCs w:val="24"/>
                <w:rtl w:val="0"/>
              </w:rPr>
              <w:t xml:space="preserve">Course Description: </w:t>
            </w:r>
            <w:r w:rsidDel="00000000" w:rsidR="00000000" w:rsidRPr="00000000">
              <w:rPr>
                <w:color w:val="1a1818"/>
                <w:sz w:val="24"/>
                <w:szCs w:val="24"/>
                <w:rtl w:val="0"/>
              </w:rPr>
              <w:t xml:space="preserve">This course enables students to develop increased proficiency in a wide range of hairstyling and aesthetics services. Working in a salon/spa team environment, students will strengthen their fundamental cosmetology skills and develop an understanding of common business practices and strategies in the salon/spa industry. Students will also expand their understanding of environmental and societal issues and their knowledge of postsecondary destinations in the hairstyling and aesthetics industry.</w:t>
            </w:r>
            <w:r w:rsidDel="00000000" w:rsidR="00000000" w:rsidRPr="00000000">
              <w:rPr>
                <w:rtl w:val="0"/>
              </w:rPr>
            </w:r>
          </w:p>
        </w:tc>
      </w:tr>
    </w:tbl>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4"/>
                <w:szCs w:val="24"/>
              </w:rPr>
            </w:pPr>
            <w:r w:rsidDel="00000000" w:rsidR="00000000" w:rsidRPr="00000000">
              <w:rPr>
                <w:b w:val="1"/>
                <w:sz w:val="24"/>
                <w:szCs w:val="24"/>
                <w:rtl w:val="0"/>
              </w:rPr>
              <w:t xml:space="preserve">Big Ideas </w:t>
            </w:r>
            <w:r w:rsidDel="00000000" w:rsidR="00000000" w:rsidRPr="00000000">
              <w:rPr>
                <w:sz w:val="24"/>
                <w:szCs w:val="24"/>
                <w:rtl w:val="0"/>
              </w:rPr>
              <w:t xml:space="preserve">(overall learning outcomes for the course) :</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sz w:val="24"/>
                <w:szCs w:val="24"/>
              </w:rPr>
            </w:pPr>
            <w:r w:rsidDel="00000000" w:rsidR="00000000" w:rsidRPr="00000000">
              <w:rPr>
                <w:sz w:val="24"/>
                <w:szCs w:val="24"/>
                <w:rtl w:val="0"/>
              </w:rPr>
              <w:t xml:space="preserve">Knowing your audience dictates your production/outcome </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sz w:val="24"/>
                <w:szCs w:val="24"/>
              </w:rPr>
            </w:pPr>
            <w:r w:rsidDel="00000000" w:rsidR="00000000" w:rsidRPr="00000000">
              <w:rPr>
                <w:sz w:val="24"/>
                <w:szCs w:val="24"/>
                <w:rtl w:val="0"/>
              </w:rPr>
              <w:t xml:space="preserve">Ideas become refined/focused with experience/practice</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Skills are tools to communicate an idea</w:t>
            </w:r>
            <w:r w:rsidDel="00000000" w:rsidR="00000000" w:rsidRPr="00000000">
              <w:rPr>
                <w:rtl w:val="0"/>
              </w:rPr>
            </w:r>
          </w:p>
        </w:tc>
      </w:tr>
    </w:tbl>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5"/>
        <w:gridCol w:w="4935"/>
        <w:tblGridChange w:id="0">
          <w:tblGrid>
            <w:gridCol w:w="4425"/>
            <w:gridCol w:w="49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4"/>
                <w:szCs w:val="24"/>
              </w:rPr>
            </w:pPr>
            <w:r w:rsidDel="00000000" w:rsidR="00000000" w:rsidRPr="00000000">
              <w:rPr>
                <w:b w:val="1"/>
                <w:sz w:val="24"/>
                <w:szCs w:val="24"/>
                <w:rtl w:val="0"/>
              </w:rPr>
              <w:t xml:space="preserve">Achievement Categories:  </w:t>
            </w:r>
            <w:r w:rsidDel="00000000" w:rsidR="00000000" w:rsidRPr="00000000">
              <w:rPr>
                <w:sz w:val="24"/>
                <w:szCs w:val="24"/>
                <w:rtl w:val="0"/>
              </w:rPr>
              <w:t xml:space="preserve">Student learning is assessed and evaluated with respect to the following four categories of knowledge and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Knowledge and Understanding: 25%  Thinking: 25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Communication:  25%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25%</w:t>
            </w:r>
          </w:p>
        </w:tc>
      </w:tr>
    </w:tbl>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0" w:line="240" w:lineRule="auto"/>
              <w:rPr>
                <w:b w:val="1"/>
                <w:sz w:val="24"/>
                <w:szCs w:val="24"/>
              </w:rPr>
            </w:pPr>
            <w:r w:rsidDel="00000000" w:rsidR="00000000" w:rsidRPr="00000000">
              <w:rPr>
                <w:b w:val="1"/>
                <w:sz w:val="24"/>
                <w:szCs w:val="24"/>
                <w:rtl w:val="0"/>
              </w:rPr>
              <w:t xml:space="preserve">Assessment and Evaluation:</w:t>
            </w:r>
          </w:p>
          <w:p w:rsidR="00000000" w:rsidDel="00000000" w:rsidP="00000000" w:rsidRDefault="00000000" w:rsidRPr="00000000" w14:paraId="00000012">
            <w:pPr>
              <w:shd w:fill="ffffff" w:val="clear"/>
              <w:spacing w:after="0" w:line="288" w:lineRule="auto"/>
              <w:rPr>
                <w:sz w:val="24"/>
                <w:szCs w:val="24"/>
              </w:rPr>
            </w:pPr>
            <w:r w:rsidDel="00000000" w:rsidR="00000000" w:rsidRPr="00000000">
              <w:rPr>
                <w:sz w:val="24"/>
                <w:szCs w:val="24"/>
                <w:rtl w:val="0"/>
              </w:rPr>
              <w:t xml:space="preserve">Formative assessments are used to improve student learning by providing varied opportunities to demonstrate an understanding of course expectations in preparation for summative evaluations.  Summative evaluations test groups of key expectations.  Failure to complete a summative evaluation may result in the expectations of the course not being met and the credit not being granted.</w:t>
              <w:br w:type="textWrapping"/>
            </w:r>
          </w:p>
          <w:p w:rsidR="00000000" w:rsidDel="00000000" w:rsidP="00000000" w:rsidRDefault="00000000" w:rsidRPr="00000000" w14:paraId="00000013">
            <w:pPr>
              <w:spacing w:after="0" w:line="288" w:lineRule="auto"/>
              <w:rPr>
                <w:b w:val="1"/>
                <w:sz w:val="24"/>
                <w:szCs w:val="24"/>
              </w:rPr>
            </w:pPr>
            <w:r w:rsidDel="00000000" w:rsidR="00000000" w:rsidRPr="00000000">
              <w:rPr>
                <w:b w:val="1"/>
                <w:sz w:val="24"/>
                <w:szCs w:val="24"/>
                <w:rtl w:val="0"/>
              </w:rPr>
              <w:t xml:space="preserve">Late Policy:</w:t>
            </w:r>
          </w:p>
          <w:p w:rsidR="00000000" w:rsidDel="00000000" w:rsidP="00000000" w:rsidRDefault="00000000" w:rsidRPr="00000000" w14:paraId="00000014">
            <w:pPr>
              <w:spacing w:after="0" w:line="240" w:lineRule="auto"/>
              <w:rPr>
                <w:color w:val="212121"/>
                <w:sz w:val="24"/>
                <w:szCs w:val="24"/>
                <w:highlight w:val="white"/>
              </w:rPr>
            </w:pPr>
            <w:r w:rsidDel="00000000" w:rsidR="00000000" w:rsidRPr="00000000">
              <w:rPr>
                <w:sz w:val="24"/>
                <w:szCs w:val="24"/>
                <w:rtl w:val="0"/>
              </w:rPr>
              <w:t xml:space="preserve">Students are expected to complete all assigned work and submit it by the teacher's established due date. Every attempt will be made to encourage students to complete all assigned work on time so their grade represents their actual achievement. </w:t>
            </w:r>
            <w:r w:rsidDel="00000000" w:rsidR="00000000" w:rsidRPr="00000000">
              <w:rPr>
                <w:color w:val="212121"/>
                <w:sz w:val="24"/>
                <w:szCs w:val="24"/>
                <w:highlight w:val="white"/>
                <w:rtl w:val="0"/>
              </w:rPr>
              <w:t xml:space="preserve">For late and missed summative assessments, please see the </w:t>
            </w:r>
            <w:r w:rsidDel="00000000" w:rsidR="00000000" w:rsidRPr="00000000">
              <w:rPr>
                <w:i w:val="1"/>
                <w:color w:val="212121"/>
                <w:sz w:val="24"/>
                <w:szCs w:val="24"/>
                <w:highlight w:val="white"/>
                <w:rtl w:val="0"/>
              </w:rPr>
              <w:t xml:space="preserve">Westside Students’ Contract for Missing Evidence of Learning</w:t>
            </w:r>
            <w:r w:rsidDel="00000000" w:rsidR="00000000" w:rsidRPr="00000000">
              <w:rPr>
                <w:color w:val="212121"/>
                <w:sz w:val="24"/>
                <w:szCs w:val="24"/>
                <w:highlight w:val="white"/>
                <w:rtl w:val="0"/>
              </w:rPr>
              <w:t xml:space="preserve">.</w:t>
            </w:r>
          </w:p>
          <w:p w:rsidR="00000000" w:rsidDel="00000000" w:rsidP="00000000" w:rsidRDefault="00000000" w:rsidRPr="00000000" w14:paraId="00000015">
            <w:pPr>
              <w:spacing w:after="0" w:line="240" w:lineRule="auto"/>
              <w:rPr>
                <w:color w:val="212121"/>
                <w:sz w:val="24"/>
                <w:szCs w:val="24"/>
                <w:highlight w:val="white"/>
              </w:rPr>
            </w:pPr>
            <w:r w:rsidDel="00000000" w:rsidR="00000000" w:rsidRPr="00000000">
              <w:rPr>
                <w:rtl w:val="0"/>
              </w:rPr>
            </w:r>
          </w:p>
          <w:p w:rsidR="00000000" w:rsidDel="00000000" w:rsidP="00000000" w:rsidRDefault="00000000" w:rsidRPr="00000000" w14:paraId="00000016">
            <w:pPr>
              <w:spacing w:after="0" w:line="240" w:lineRule="auto"/>
              <w:rPr>
                <w:color w:val="1155cc"/>
                <w:sz w:val="24"/>
                <w:szCs w:val="24"/>
                <w:u w:val="single"/>
              </w:rPr>
            </w:pPr>
            <w:r w:rsidDel="00000000" w:rsidR="00000000" w:rsidRPr="00000000">
              <w:rPr>
                <w:sz w:val="24"/>
                <w:szCs w:val="24"/>
                <w:rtl w:val="0"/>
              </w:rPr>
              <w:t xml:space="preserve">More details about Westside’s Assessment and Evaluation Policy is available at:</w:t>
            </w:r>
            <w:hyperlink r:id="rId7">
              <w:r w:rsidDel="00000000" w:rsidR="00000000" w:rsidRPr="00000000">
                <w:rPr>
                  <w:sz w:val="24"/>
                  <w:szCs w:val="24"/>
                  <w:rtl w:val="0"/>
                </w:rPr>
                <w:t xml:space="preserve"> </w:t>
              </w:r>
            </w:hyperlink>
            <w:hyperlink r:id="rId8">
              <w:r w:rsidDel="00000000" w:rsidR="00000000" w:rsidRPr="00000000">
                <w:rPr>
                  <w:color w:val="1155cc"/>
                  <w:sz w:val="24"/>
                  <w:szCs w:val="24"/>
                  <w:u w:val="single"/>
                  <w:rtl w:val="0"/>
                </w:rPr>
                <w:t xml:space="preserve">http://www.ugdsb.ca/westside/wp-content/uploads/sites/74/2016/12/Westside-Assessment.pdf</w:t>
              </w:r>
            </w:hyperlink>
            <w:r w:rsidDel="00000000" w:rsidR="00000000" w:rsidRPr="00000000">
              <w:fldChar w:fldCharType="begin"/>
              <w:instrText xml:space="preserve"> HYPERLINK "http://www.ugdsb.ca/westside/wp-content/uploads/sites/74/2016/12/Westside-Assessment.pdf" </w:instrText>
              <w:fldChar w:fldCharType="separate"/>
            </w:r>
            <w:r w:rsidDel="00000000" w:rsidR="00000000" w:rsidRPr="00000000">
              <w:rPr>
                <w:rtl w:val="0"/>
              </w:rPr>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Fees and Materials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this course there are opportunities to work with professional hair colour. An enhancement fee of $50.00 will cover these costs. </w:t>
      </w:r>
      <w:r w:rsidDel="00000000" w:rsidR="00000000" w:rsidRPr="00000000">
        <w:rPr>
          <w:highlight w:val="white"/>
          <w:rtl w:val="0"/>
        </w:rPr>
        <w:t xml:space="preserve">All course enhancement fees are expected to be paid </w:t>
      </w:r>
      <w:r w:rsidDel="00000000" w:rsidR="00000000" w:rsidRPr="00000000">
        <w:rPr>
          <w:b w:val="1"/>
          <w:highlight w:val="white"/>
          <w:rtl w:val="0"/>
        </w:rPr>
        <w:t xml:space="preserve">by the end of the second week of the course</w:t>
      </w:r>
      <w:r w:rsidDel="00000000" w:rsidR="00000000" w:rsidRPr="00000000">
        <w:rPr>
          <w:highlight w:val="white"/>
          <w:rtl w:val="0"/>
        </w:rPr>
        <w:t xml:space="preserve">. Payment options are available through </w:t>
      </w:r>
      <w:r w:rsidDel="00000000" w:rsidR="00000000" w:rsidRPr="00000000">
        <w:rPr>
          <w:b w:val="1"/>
          <w:highlight w:val="white"/>
          <w:rtl w:val="0"/>
        </w:rPr>
        <w:t xml:space="preserve">ugdsb.schoolcashonline.com</w:t>
      </w:r>
      <w:r w:rsidDel="00000000" w:rsidR="00000000" w:rsidRPr="00000000">
        <w:rPr>
          <w:highlight w:val="white"/>
          <w:rtl w:val="0"/>
        </w:rPr>
        <w:t xml:space="preserve">. If enhancement course fees are not paid by this time, many extra options/opportunities in courses will not be available to students. Please come and speak to me if there are issues with course fees within the first few days of classes.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If you already have a mannequin and scissors, your total enhancement fee is $50.00. If you need a different mannequin or do not have scissors, these costs are outlined below:</w:t>
      </w: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after="0" w:line="240" w:lineRule="auto"/>
              <w:rPr>
                <w:b w:val="1"/>
              </w:rPr>
            </w:pPr>
            <w:r w:rsidDel="00000000" w:rsidR="00000000" w:rsidRPr="00000000">
              <w:rPr>
                <w:b w:val="1"/>
                <w:rtl w:val="0"/>
              </w:rPr>
              <w:t xml:space="preserve">If you need: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after="0" w:line="240" w:lineRule="auto"/>
              <w:rPr>
                <w:b w:val="1"/>
              </w:rPr>
            </w:pPr>
            <w:r w:rsidDel="00000000" w:rsidR="00000000" w:rsidRPr="00000000">
              <w:rPr>
                <w:b w:val="1"/>
                <w:rtl w:val="0"/>
              </w:rPr>
              <w:t xml:space="preserve">It will cost: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line="240" w:lineRule="auto"/>
              <w:rPr/>
            </w:pPr>
            <w:r w:rsidDel="00000000" w:rsidR="00000000" w:rsidRPr="00000000">
              <w:rPr>
                <w:rtl w:val="0"/>
              </w:rPr>
              <w:t xml:space="preserve">Scissors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after="0" w:line="240" w:lineRule="auto"/>
              <w:rPr/>
            </w:pPr>
            <w:r w:rsidDel="00000000" w:rsidR="00000000" w:rsidRPr="00000000">
              <w:rPr>
                <w:rtl w:val="0"/>
              </w:rPr>
              <w:t xml:space="preserve">$30.00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line="240" w:lineRule="auto"/>
              <w:rPr/>
            </w:pPr>
            <w:r w:rsidDel="00000000" w:rsidR="00000000" w:rsidRPr="00000000">
              <w:rPr>
                <w:rtl w:val="0"/>
              </w:rPr>
              <w:t xml:space="preserve">New Mannequin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after="0" w:line="240" w:lineRule="auto"/>
              <w:rPr/>
            </w:pPr>
            <w:r w:rsidDel="00000000" w:rsidR="00000000" w:rsidRPr="00000000">
              <w:rPr>
                <w:rtl w:val="0"/>
              </w:rPr>
              <w:t xml:space="preserve">$100.00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line="240" w:lineRule="auto"/>
              <w:rPr/>
            </w:pPr>
            <w:r w:rsidDel="00000000" w:rsidR="00000000" w:rsidRPr="00000000">
              <w:rPr>
                <w:rtl w:val="0"/>
              </w:rPr>
              <w:t xml:space="preserve">Used Mannequin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after="0" w:line="240" w:lineRule="auto"/>
              <w:rPr/>
            </w:pPr>
            <w:r w:rsidDel="00000000" w:rsidR="00000000" w:rsidRPr="00000000">
              <w:rPr>
                <w:rtl w:val="0"/>
              </w:rPr>
              <w:t xml:space="preserve">$50.00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after="0" w:line="240" w:lineRule="auto"/>
              <w:rPr/>
            </w:pPr>
            <w:r w:rsidDel="00000000" w:rsidR="00000000" w:rsidRPr="00000000">
              <w:rPr>
                <w:rtl w:val="0"/>
              </w:rPr>
              <w:t xml:space="preserve">New Mannequin and scissors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line="240" w:lineRule="auto"/>
              <w:rPr/>
            </w:pPr>
            <w:r w:rsidDel="00000000" w:rsidR="00000000" w:rsidRPr="00000000">
              <w:rPr>
                <w:rtl w:val="0"/>
              </w:rPr>
              <w:t xml:space="preserve">$130.00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line="240" w:lineRule="auto"/>
              <w:rPr/>
            </w:pPr>
            <w:r w:rsidDel="00000000" w:rsidR="00000000" w:rsidRPr="00000000">
              <w:rPr>
                <w:rtl w:val="0"/>
              </w:rPr>
              <w:t xml:space="preserve">Used Mannequin and scissors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after="0" w:line="240" w:lineRule="auto"/>
              <w:rPr/>
            </w:pPr>
            <w:r w:rsidDel="00000000" w:rsidR="00000000" w:rsidRPr="00000000">
              <w:rPr>
                <w:rtl w:val="0"/>
              </w:rPr>
              <w:t xml:space="preserve">$80.00</w:t>
            </w:r>
          </w:p>
        </w:tc>
      </w:tr>
    </w:tbl>
    <w:p w:rsidR="00000000" w:rsidDel="00000000" w:rsidP="00000000" w:rsidRDefault="00000000" w:rsidRPr="00000000" w14:paraId="0000002A">
      <w:pPr>
        <w:widowControl w:val="1"/>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6480"/>
        <w:tblGridChange w:id="0">
          <w:tblGrid>
            <w:gridCol w:w="2880"/>
            <w:gridCol w:w="64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line="240" w:lineRule="auto"/>
              <w:jc w:val="left"/>
              <w:rPr>
                <w:b w:val="1"/>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line="240" w:lineRule="auto"/>
              <w:jc w:val="center"/>
              <w:rPr>
                <w:b w:val="1"/>
              </w:rPr>
            </w:pPr>
            <w:r w:rsidDel="00000000" w:rsidR="00000000" w:rsidRPr="00000000">
              <w:rPr>
                <w:b w:val="1"/>
                <w:rtl w:val="0"/>
              </w:rPr>
              <w:t xml:space="preserve">Term Work (70%)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line="240" w:lineRule="auto"/>
              <w:jc w:val="center"/>
              <w:rPr>
                <w:b w:val="1"/>
              </w:rPr>
            </w:pPr>
            <w:r w:rsidDel="00000000" w:rsidR="00000000" w:rsidRPr="00000000">
              <w:rPr>
                <w:b w:val="1"/>
                <w:rtl w:val="0"/>
              </w:rPr>
              <w:t xml:space="preserve">Unit of Study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line="240" w:lineRule="auto"/>
              <w:jc w:val="center"/>
              <w:rPr>
                <w:b w:val="1"/>
              </w:rPr>
            </w:pPr>
            <w:r w:rsidDel="00000000" w:rsidR="00000000" w:rsidRPr="00000000">
              <w:rPr>
                <w:b w:val="1"/>
                <w:rtl w:val="0"/>
              </w:rPr>
              <w:t xml:space="preserve">Summative Evaluations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after="0" w:line="240" w:lineRule="auto"/>
              <w:rPr>
                <w:b w:val="1"/>
              </w:rPr>
            </w:pPr>
            <w:r w:rsidDel="00000000" w:rsidR="00000000" w:rsidRPr="00000000">
              <w:rPr>
                <w:b w:val="1"/>
                <w:rtl w:val="0"/>
              </w:rPr>
              <w:t xml:space="preserve">Colour Chemistry</w:t>
            </w:r>
          </w:p>
          <w:p w:rsidR="00000000" w:rsidDel="00000000" w:rsidP="00000000" w:rsidRDefault="00000000" w:rsidRPr="00000000" w14:paraId="00000030">
            <w:pPr>
              <w:spacing w:after="0" w:line="240" w:lineRule="auto"/>
              <w:rPr>
                <w:b w:val="1"/>
              </w:rPr>
            </w:pPr>
            <w:r w:rsidDel="00000000" w:rsidR="00000000" w:rsidRPr="00000000">
              <w:rPr>
                <w:b w:val="1"/>
                <w:rtl w:val="0"/>
              </w:rPr>
              <w:t xml:space="preserve">(5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after="0" w:line="240" w:lineRule="auto"/>
              <w:rPr/>
            </w:pPr>
            <w:r w:rsidDel="00000000" w:rsidR="00000000" w:rsidRPr="00000000">
              <w:rPr>
                <w:rtl w:val="0"/>
              </w:rPr>
              <w:t xml:space="preserve">Students will be introduced to the chemistry of hair colour and learn to choose the correct/appropriate colour for a client</w:t>
            </w:r>
          </w:p>
          <w:p w:rsidR="00000000" w:rsidDel="00000000" w:rsidP="00000000" w:rsidRDefault="00000000" w:rsidRPr="00000000" w14:paraId="00000032">
            <w:pPr>
              <w:spacing w:after="0" w:line="240" w:lineRule="auto"/>
              <w:rPr/>
            </w:pPr>
            <w:r w:rsidDel="00000000" w:rsidR="00000000" w:rsidRPr="00000000">
              <w:rPr>
                <w:b w:val="1"/>
                <w:u w:val="single"/>
                <w:rtl w:val="0"/>
              </w:rPr>
              <w:t xml:space="preserve">Assessment: </w:t>
            </w:r>
            <w:r w:rsidDel="00000000" w:rsidR="00000000" w:rsidRPr="00000000">
              <w:rPr>
                <w:rtl w:val="0"/>
              </w:rPr>
              <w:t xml:space="preserve">Unit Test and mannequin application.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Review and Preparation for Cutting</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(1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Students will participate in a number of activities and discussions preparing them to jump back into cutting.</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Community Outreach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(Ongoing)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Students will organize and execute Spa days for local Retirement homes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Cutting</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(4-5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This unit will be fully hands on. It will be part review and include some new cuts. It will proceed in the following order:</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Review-Blunt Cut</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Review-Uniform Layered Cut</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New-Different Types of Bangs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New-Men’s cuts (shag, short, clipper)</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b w:val="1"/>
                <w:u w:val="single"/>
              </w:rPr>
            </w:pPr>
            <w:r w:rsidDel="00000000" w:rsidR="00000000" w:rsidRPr="00000000">
              <w:rPr>
                <w:b w:val="1"/>
                <w:u w:val="single"/>
                <w:rtl w:val="0"/>
              </w:rPr>
              <w:t xml:space="preserve">Assessment:</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Each cut will be assessed with a final cut on the students’ mannequin.</w:t>
            </w:r>
            <w:r w:rsidDel="00000000" w:rsidR="00000000" w:rsidRPr="00000000">
              <w:rPr>
                <w:b w:val="1"/>
                <w:u w:val="single"/>
                <w:rtl w:val="0"/>
              </w:rPr>
              <w:t xml:space="preserve"> </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Magazine Spread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Students will create a specific “look” for a magazine cover.</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b w:val="1"/>
                <w:u w:val="single"/>
                <w:rtl w:val="0"/>
              </w:rPr>
              <w:t xml:space="preserve">Assessment:</w:t>
            </w:r>
            <w:r w:rsidDel="00000000" w:rsidR="00000000" w:rsidRPr="00000000">
              <w:rPr>
                <w:rtl w:val="0"/>
              </w:rPr>
              <w:t xml:space="preserve"> Magazine cover photo</w:t>
            </w:r>
          </w:p>
        </w:tc>
      </w:tr>
      <w:tr>
        <w:tc>
          <w:tcPr>
            <w:tcMar>
              <w:top w:w="100.0" w:type="dxa"/>
              <w:left w:w="100.0" w:type="dxa"/>
              <w:bottom w:w="100.0" w:type="dxa"/>
              <w:right w:w="100.0" w:type="dxa"/>
            </w:tcMar>
          </w:tcPr>
          <w:p w:rsidR="00000000" w:rsidDel="00000000" w:rsidP="00000000" w:rsidRDefault="00000000" w:rsidRPr="00000000" w14:paraId="00000046">
            <w:pPr>
              <w:widowControl w:val="1"/>
              <w:spacing w:after="0" w:line="240" w:lineRule="auto"/>
              <w:rPr/>
            </w:pPr>
            <w:r w:rsidDel="00000000" w:rsidR="00000000" w:rsidRPr="00000000">
              <w:rPr>
                <w:b w:val="1"/>
                <w:rtl w:val="0"/>
              </w:rPr>
              <w:t xml:space="preserve">Skincare</w:t>
            </w:r>
            <w:r w:rsidDel="00000000" w:rsidR="00000000" w:rsidRPr="00000000">
              <w:rPr>
                <w:rtl w:val="0"/>
              </w:rPr>
            </w:r>
          </w:p>
          <w:p w:rsidR="00000000" w:rsidDel="00000000" w:rsidP="00000000" w:rsidRDefault="00000000" w:rsidRPr="00000000" w14:paraId="00000047">
            <w:pPr>
              <w:widowControl w:val="1"/>
              <w:spacing w:after="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8">
            <w:pPr>
              <w:widowControl w:val="1"/>
              <w:spacing w:after="0" w:line="240" w:lineRule="auto"/>
              <w:rPr/>
            </w:pPr>
            <w:r w:rsidDel="00000000" w:rsidR="00000000" w:rsidRPr="00000000">
              <w:rPr>
                <w:rtl w:val="0"/>
              </w:rPr>
              <w:t xml:space="preserve">Students examine different types of skin disorders and how everyday life  affects the skin.</w:t>
            </w:r>
          </w:p>
          <w:p w:rsidR="00000000" w:rsidDel="00000000" w:rsidP="00000000" w:rsidRDefault="00000000" w:rsidRPr="00000000" w14:paraId="00000049">
            <w:pPr>
              <w:widowControl w:val="1"/>
              <w:spacing w:after="0" w:line="240" w:lineRule="auto"/>
              <w:rPr/>
            </w:pPr>
            <w:r w:rsidDel="00000000" w:rsidR="00000000" w:rsidRPr="00000000">
              <w:rPr>
                <w:b w:val="1"/>
                <w:u w:val="single"/>
                <w:rtl w:val="0"/>
              </w:rPr>
              <w:t xml:space="preserve">Assessment:</w:t>
            </w:r>
            <w:r w:rsidDel="00000000" w:rsidR="00000000" w:rsidRPr="00000000">
              <w:rPr>
                <w:rtl w:val="0"/>
              </w:rPr>
              <w:t xml:space="preserve"> Presentations on findings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Highlighting/Full Colour-</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(3 weeks)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Students will learn effective colour choices for clients and how to properly apply colour in foils.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b w:val="1"/>
                <w:u w:val="single"/>
                <w:rtl w:val="0"/>
              </w:rPr>
              <w:t xml:space="preserve">Assessment: </w:t>
            </w:r>
            <w:r w:rsidDel="00000000" w:rsidR="00000000" w:rsidRPr="00000000">
              <w:rPr>
                <w:rtl w:val="0"/>
              </w:rPr>
              <w:t xml:space="preserve"> </w:t>
            </w:r>
            <w:r w:rsidDel="00000000" w:rsidR="00000000" w:rsidRPr="00000000">
              <w:rPr>
                <w:rtl w:val="0"/>
              </w:rPr>
              <w:t xml:space="preserve">Mannequin Application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line="240" w:lineRule="auto"/>
              <w:jc w:val="center"/>
              <w:rPr>
                <w:b w:val="1"/>
              </w:rPr>
            </w:pPr>
            <w:r w:rsidDel="00000000" w:rsidR="00000000" w:rsidRPr="00000000">
              <w:rPr>
                <w:b w:val="1"/>
                <w:rtl w:val="0"/>
              </w:rPr>
              <w:t xml:space="preserve">Summative Assessment 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Portfolio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                                                        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Exam (Presenting Portfolio)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                                                        10%</w:t>
            </w:r>
          </w:p>
        </w:tc>
      </w:tr>
    </w:tbl>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sectPr>
      <w:pgSz w:h="2016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BRAZI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b w:val="0"/>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Calibri" w:cs="Calibri" w:eastAsia="Calibri" w:hAnsi="Calibri"/>
        <w:b w:val="0"/>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Calibri" w:cs="Calibri" w:eastAsia="Calibri" w:hAnsi="Calibri"/>
        <w:b w:val="0"/>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Calibri" w:cs="Calibri" w:eastAsia="Calibri" w:hAnsi="Calibri"/>
        <w:b w:val="0"/>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Calibri" w:cs="Calibri" w:eastAsia="Calibri" w:hAnsi="Calibri"/>
        <w:b w:val="0"/>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Calibri" w:cs="Calibri" w:eastAsia="Calibri" w:hAnsi="Calibri"/>
        <w:b w:val="0"/>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Calibri" w:cs="Calibri" w:eastAsia="Calibri" w:hAnsi="Calibri"/>
        <w:b w:val="0"/>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Calibri" w:cs="Calibri" w:eastAsia="Calibri" w:hAnsi="Calibri"/>
        <w:b w:val="0"/>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Calibri" w:cs="Calibri" w:eastAsia="Calibri" w:hAnsi="Calibri"/>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pPr>
    <w:rPr>
      <w:b w:val="1"/>
      <w:sz w:val="48"/>
      <w:szCs w:val="48"/>
    </w:rPr>
  </w:style>
  <w:style w:type="paragraph" w:styleId="Heading2">
    <w:name w:val="heading 2"/>
    <w:basedOn w:val="Normal"/>
    <w:next w:val="Normal"/>
    <w:pPr>
      <w:keepNext w:val="0"/>
      <w:keepLines w:val="0"/>
      <w:widowControl w:val="0"/>
      <w:spacing w:after="80" w:before="360" w:lineRule="auto"/>
    </w:pPr>
    <w:rPr>
      <w:b w:val="1"/>
      <w:sz w:val="36"/>
      <w:szCs w:val="36"/>
    </w:rPr>
  </w:style>
  <w:style w:type="paragraph" w:styleId="Heading3">
    <w:name w:val="heading 3"/>
    <w:basedOn w:val="Normal"/>
    <w:next w:val="Normal"/>
    <w:pPr>
      <w:keepNext w:val="0"/>
      <w:keepLines w:val="0"/>
      <w:widowControl w:val="0"/>
      <w:spacing w:after="80" w:before="280" w:lineRule="auto"/>
    </w:pPr>
    <w:rPr>
      <w:b w:val="1"/>
      <w:sz w:val="28"/>
      <w:szCs w:val="28"/>
    </w:rPr>
  </w:style>
  <w:style w:type="paragraph" w:styleId="Heading4">
    <w:name w:val="heading 4"/>
    <w:basedOn w:val="Normal"/>
    <w:next w:val="Normal"/>
    <w:pPr>
      <w:keepNext w:val="0"/>
      <w:keepLines w:val="0"/>
      <w:widowControl w:val="0"/>
      <w:spacing w:after="40" w:before="240" w:lineRule="auto"/>
    </w:pPr>
    <w:rPr>
      <w:b w:val="1"/>
      <w:sz w:val="24"/>
      <w:szCs w:val="24"/>
    </w:rPr>
  </w:style>
  <w:style w:type="paragraph" w:styleId="Heading5">
    <w:name w:val="heading 5"/>
    <w:basedOn w:val="Normal"/>
    <w:next w:val="Normal"/>
    <w:pPr>
      <w:keepNext w:val="0"/>
      <w:keepLines w:val="0"/>
      <w:widowControl w:val="0"/>
      <w:spacing w:after="40" w:before="220" w:lineRule="auto"/>
    </w:pPr>
    <w:rPr>
      <w:b w:val="1"/>
      <w:sz w:val="22"/>
      <w:szCs w:val="22"/>
    </w:rPr>
  </w:style>
  <w:style w:type="paragraph" w:styleId="Heading6">
    <w:name w:val="heading 6"/>
    <w:basedOn w:val="Normal"/>
    <w:next w:val="Normal"/>
    <w:pPr>
      <w:keepNext w:val="0"/>
      <w:keepLines w:val="0"/>
      <w:widowControl w:val="0"/>
      <w:spacing w:after="40" w:before="200" w:lineRule="auto"/>
    </w:pPr>
    <w:rPr>
      <w:b w:val="1"/>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ugdsb.ca/westside/wp-content/uploads/sites/74/2016/12/Westside-Assessment.pdf" TargetMode="External"/><Relationship Id="rId8" Type="http://schemas.openxmlformats.org/officeDocument/2006/relationships/hyperlink" Target="http://www.ugdsb.ca/westside/wp-content/uploads/sites/74/2016/12/Westside-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